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beforeAutospacing="0" w:after="0" w:line="240" w:lineRule="auto"/>
        <w:jc w:val="center"/>
        <w:rPr>
          <w:rFonts w:ascii="Abadi" w:hAnsi="Abadi" w:cs="Baghdad"/>
          <w:color w:val="000000" w:themeColor="text1"/>
          <w:sz w:val="32"/>
          <w:szCs w:val="32"/>
          <w:lang w:eastAsia="zh-TW"/>
          <w14:textFill>
            <w14:solidFill>
              <w14:schemeClr w14:val="tx1"/>
            </w14:solidFill>
          </w14:textFill>
        </w:rPr>
      </w:pPr>
      <w:r>
        <w:rPr>
          <w:rFonts w:hint="default" w:ascii="Arial Regular" w:hAnsi="Arial Regular" w:cs="Arial Regular"/>
          <w:b/>
          <w:bCs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  <w:t>Karl J. Weaver</w:t>
      </w:r>
      <w:r>
        <w:rPr>
          <w:rFonts w:ascii="Abadi" w:hAnsi="Abadi" w:cs="Baghdad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before="0" w:beforeAutospacing="0" w:after="0" w:line="240" w:lineRule="auto"/>
        <w:jc w:val="center"/>
        <w:rPr>
          <w:rFonts w:hint="default" w:ascii="Arial Regular" w:hAnsi="Arial Regular" w:cs="Arial Regular"/>
          <w:color w:val="000000" w:themeColor="text1"/>
          <w:sz w:val="24"/>
          <w:szCs w:val="24"/>
          <w:lang w:eastAsia="zh-TW"/>
          <w14:textFill>
            <w14:solidFill>
              <w14:schemeClr w14:val="tx1"/>
            </w14:solidFill>
          </w14:textFill>
        </w:rPr>
      </w:pPr>
      <w:r>
        <w:rPr>
          <w:rFonts w:hint="default" w:ascii="Arial Regular" w:hAnsi="Arial Regular" w:cs="Arial Regular"/>
          <w:color w:val="000000" w:themeColor="text1"/>
          <w:sz w:val="24"/>
          <w:szCs w:val="24"/>
          <w:lang w:eastAsia="zh-TW"/>
          <w14:textFill>
            <w14:solidFill>
              <w14:schemeClr w14:val="tx1"/>
            </w14:solidFill>
          </w14:textFill>
        </w:rPr>
        <w:t xml:space="preserve">Private Webpage: </w:t>
      </w:r>
      <w:r>
        <w:rPr>
          <w:rFonts w:hint="default" w:ascii="Arial Regular" w:hAnsi="Arial Regular" w:cs="Arial Regular"/>
        </w:rPr>
        <w:fldChar w:fldCharType="begin"/>
      </w:r>
      <w:r>
        <w:rPr>
          <w:rFonts w:hint="default" w:ascii="Arial Regular" w:hAnsi="Arial Regular" w:cs="Arial Regular"/>
        </w:rPr>
        <w:instrText xml:space="preserve"> HYPERLINK "https://newport-technologies.com" </w:instrText>
      </w:r>
      <w:r>
        <w:rPr>
          <w:rFonts w:hint="default" w:ascii="Arial Regular" w:hAnsi="Arial Regular" w:cs="Arial Regular"/>
        </w:rPr>
        <w:fldChar w:fldCharType="separate"/>
      </w:r>
      <w:r>
        <w:rPr>
          <w:rStyle w:val="5"/>
          <w:rFonts w:hint="default" w:ascii="Arial Regular" w:hAnsi="Arial Regular" w:cs="Arial Regular"/>
          <w:sz w:val="24"/>
          <w:szCs w:val="24"/>
          <w:lang w:eastAsia="zh-TW"/>
        </w:rPr>
        <w:t>https://newport-technologies.com</w:t>
      </w:r>
      <w:r>
        <w:rPr>
          <w:rStyle w:val="5"/>
          <w:rFonts w:hint="default" w:ascii="Arial Regular" w:hAnsi="Arial Regular" w:cs="Arial Regular"/>
          <w:sz w:val="24"/>
          <w:szCs w:val="24"/>
          <w:lang w:eastAsia="zh-TW"/>
        </w:rPr>
        <w:fldChar w:fldCharType="end"/>
      </w:r>
      <w:r>
        <w:rPr>
          <w:rFonts w:hint="default" w:ascii="Arial Regular" w:hAnsi="Arial Regular" w:cs="Arial Regular"/>
          <w:color w:val="000000" w:themeColor="text1"/>
          <w:sz w:val="24"/>
          <w:szCs w:val="24"/>
          <w:lang w:eastAsia="zh-TW"/>
          <w14:textFill>
            <w14:solidFill>
              <w14:schemeClr w14:val="tx1"/>
            </w14:solidFill>
          </w14:textFill>
        </w:rPr>
        <w:t xml:space="preserve">  Email:  </w:t>
      </w:r>
      <w:r>
        <w:rPr>
          <w:rFonts w:hint="default" w:ascii="Arial Regular" w:hAnsi="Arial Regular" w:cs="Arial Regular"/>
        </w:rPr>
        <w:fldChar w:fldCharType="begin"/>
      </w:r>
      <w:r>
        <w:rPr>
          <w:rFonts w:hint="default" w:ascii="Arial Regular" w:hAnsi="Arial Regular" w:cs="Arial Regular"/>
        </w:rPr>
        <w:instrText xml:space="preserve"> HYPERLINK "mailto:karljweaver@gmail.com" </w:instrText>
      </w:r>
      <w:r>
        <w:rPr>
          <w:rFonts w:hint="default" w:ascii="Arial Regular" w:hAnsi="Arial Regular" w:cs="Arial Regular"/>
        </w:rPr>
        <w:fldChar w:fldCharType="separate"/>
      </w:r>
      <w:r>
        <w:rPr>
          <w:rStyle w:val="5"/>
          <w:rFonts w:hint="default" w:ascii="Arial Regular" w:hAnsi="Arial Regular" w:cs="Arial Regular"/>
          <w:sz w:val="24"/>
          <w:szCs w:val="24"/>
          <w:lang w:eastAsia="zh-TW"/>
        </w:rPr>
        <w:t>karljweaver@gmail.com</w:t>
      </w:r>
      <w:r>
        <w:rPr>
          <w:rStyle w:val="5"/>
          <w:rFonts w:hint="default" w:ascii="Arial Regular" w:hAnsi="Arial Regular" w:cs="Arial Regular"/>
          <w:sz w:val="24"/>
          <w:szCs w:val="24"/>
          <w:lang w:eastAsia="zh-TW"/>
        </w:rPr>
        <w:fldChar w:fldCharType="end"/>
      </w:r>
    </w:p>
    <w:p>
      <w:pPr>
        <w:spacing w:before="0" w:beforeAutospacing="0" w:after="0" w:line="240" w:lineRule="auto"/>
        <w:jc w:val="center"/>
        <w:rPr>
          <w:rFonts w:hint="default" w:ascii="Arial Regular" w:hAnsi="Arial Regular" w:cs="Arial Regular"/>
          <w:color w:val="000000" w:themeColor="text1"/>
          <w:sz w:val="24"/>
          <w:szCs w:val="24"/>
          <w:lang w:eastAsia="zh-TW"/>
          <w14:textFill>
            <w14:solidFill>
              <w14:schemeClr w14:val="tx1"/>
            </w14:solidFill>
          </w14:textFill>
        </w:rPr>
      </w:pPr>
      <w:r>
        <w:rPr>
          <w:rFonts w:hint="default" w:ascii="Arial Regular" w:hAnsi="Arial Regular" w:cs="Arial Regular"/>
          <w:color w:val="000000" w:themeColor="text1"/>
          <w:sz w:val="24"/>
          <w:szCs w:val="24"/>
          <w:lang w:eastAsia="zh-TW"/>
          <w14:textFill>
            <w14:solidFill>
              <w14:schemeClr w14:val="tx1"/>
            </w14:solidFill>
          </w14:textFill>
        </w:rPr>
        <w:t>USA T-Mobile &amp; WhatsApp +1-425-647-9315 YouTube: @karlweaver2597</w:t>
      </w:r>
    </w:p>
    <w:tbl>
      <w:tblPr>
        <w:tblStyle w:val="9"/>
        <w:tblW w:w="5317" w:type="pct"/>
        <w:tblInd w:w="-333" w:type="dxa"/>
        <w:tblBorders>
          <w:top w:val="none" w:color="auto" w:sz="0" w:space="0"/>
          <w:left w:val="none" w:color="auto" w:sz="0" w:space="0"/>
          <w:bottom w:val="single" w:color="2E75B5" w:sz="4" w:space="0"/>
          <w:right w:val="none" w:color="auto" w:sz="0" w:space="0"/>
          <w:insideH w:val="single" w:color="2E75B5" w:sz="4" w:space="0"/>
          <w:insideV w:val="none" w:color="auto" w:sz="0" w:space="0"/>
        </w:tblBorders>
        <w:tblLayout w:type="fixed"/>
        <w:tblCellMar>
          <w:top w:w="144" w:type="dxa"/>
          <w:left w:w="0" w:type="dxa"/>
          <w:bottom w:w="72" w:type="dxa"/>
          <w:right w:w="0" w:type="dxa"/>
        </w:tblCellMar>
      </w:tblPr>
      <w:tblGrid>
        <w:gridCol w:w="2117"/>
        <w:gridCol w:w="9368"/>
      </w:tblGrid>
      <w:tr>
        <w:tc>
          <w:tcPr>
            <w:tcW w:w="2117" w:type="dxa"/>
            <w:tcBorders>
              <w:top w:val="nil"/>
              <w:left w:val="nil"/>
              <w:bottom w:val="single" w:color="2E75B5" w:sz="4" w:space="0"/>
              <w:right w:val="nil"/>
            </w:tcBorders>
          </w:tcPr>
          <w:p>
            <w:pPr>
              <w:pStyle w:val="7"/>
              <w:rPr>
                <w:rFonts w:ascii="Trebuchet MS" w:hAnsi="Trebuchet MS" w:eastAsia="SimHei"/>
                <w:caps/>
                <w:color w:val="1F4E79"/>
                <w:sz w:val="23"/>
                <w:szCs w:val="23"/>
              </w:rPr>
            </w:pPr>
            <w:r>
              <w:rPr>
                <w:rFonts w:ascii="Trebuchet MS" w:hAnsi="Trebuchet MS" w:eastAsia="SimHei"/>
                <w:caps/>
                <w:color w:val="0A1B9E"/>
                <w:sz w:val="23"/>
                <w:szCs w:val="23"/>
              </w:rPr>
              <w:t>SUMMARY</w:t>
            </w:r>
          </w:p>
        </w:tc>
        <w:tc>
          <w:tcPr>
            <w:tcW w:w="9368" w:type="dxa"/>
            <w:tcBorders>
              <w:top w:val="nil"/>
              <w:left w:val="nil"/>
              <w:bottom w:val="single" w:color="2E75B5" w:sz="4" w:space="0"/>
              <w:right w:val="nil"/>
            </w:tcBorders>
            <w:tcMar>
              <w:top w:w="144" w:type="dxa"/>
              <w:left w:w="274" w:type="dxa"/>
              <w:bottom w:w="72" w:type="dxa"/>
              <w:right w:w="0" w:type="dxa"/>
            </w:tcMar>
          </w:tcPr>
          <w:p>
            <w:pPr>
              <w:autoSpaceDE w:val="0"/>
              <w:autoSpaceDN w:val="0"/>
              <w:adjustRightInd w:val="0"/>
              <w:spacing w:after="79" w:line="272" w:lineRule="exact"/>
              <w:rPr>
                <w:rFonts w:ascii="Tahoma" w:hAnsi="Tahoma" w:cs="Tahoma"/>
                <w:color w:val="000000"/>
                <w:spacing w:val="2"/>
                <w:sz w:val="21"/>
                <w:szCs w:val="21"/>
                <w:lang w:val="en-US"/>
              </w:rPr>
            </w:pPr>
            <w:r>
              <w:rPr>
                <w:rFonts w:ascii="Tahoma" w:hAnsi="Tahoma" w:cs="Tahoma"/>
                <w:b/>
                <w:bCs/>
                <w:color w:val="000000"/>
                <w:spacing w:val="1"/>
                <w:sz w:val="21"/>
                <w:szCs w:val="21"/>
              </w:rPr>
              <w:t>Global mobile ecosystem</w:t>
            </w:r>
            <w:r>
              <w:rPr>
                <w:rFonts w:ascii="Tahoma" w:hAnsi="Tahoma" w:cs="Tahoma"/>
                <w:color w:val="000000"/>
                <w:spacing w:val="1"/>
                <w:sz w:val="21"/>
                <w:szCs w:val="21"/>
              </w:rPr>
              <w:t xml:space="preserve"> executive</w:t>
            </w:r>
            <w:r>
              <w:rPr>
                <w:color w:val="000000"/>
              </w:rPr>
              <w:t> </w:t>
            </w:r>
            <w:r>
              <w:rPr>
                <w:rFonts w:ascii="Tahoma" w:hAnsi="Tahoma" w:cs="Tahoma"/>
                <w:color w:val="000000"/>
                <w:spacing w:val="2"/>
                <w:sz w:val="21"/>
                <w:szCs w:val="21"/>
              </w:rPr>
              <w:t xml:space="preserve">focused on promoting the design-in of </w:t>
            </w:r>
            <w:r>
              <w:rPr>
                <w:rFonts w:ascii="Tahoma" w:hAnsi="Tahoma" w:cs="Tahoma"/>
                <w:b/>
                <w:bCs/>
                <w:color w:val="000000"/>
                <w:spacing w:val="2"/>
                <w:sz w:val="21"/>
                <w:szCs w:val="21"/>
              </w:rPr>
              <w:t>embedded software</w:t>
            </w:r>
            <w:r>
              <w:rPr>
                <w:rFonts w:ascii="Tahoma" w:hAnsi="Tahoma" w:cs="Tahoma"/>
                <w:color w:val="000000"/>
                <w:spacing w:val="2"/>
                <w:sz w:val="21"/>
                <w:szCs w:val="21"/>
              </w:rPr>
              <w:t xml:space="preserve"> into </w:t>
            </w:r>
            <w:r>
              <w:rPr>
                <w:rFonts w:ascii="Tahoma" w:hAnsi="Tahoma" w:cs="Tahoma"/>
                <w:b/>
                <w:bCs/>
                <w:color w:val="000000"/>
                <w:spacing w:val="2"/>
                <w:sz w:val="21"/>
                <w:szCs w:val="21"/>
              </w:rPr>
              <w:t>hardware technologies</w:t>
            </w:r>
            <w:r>
              <w:rPr>
                <w:rFonts w:ascii="Tahoma" w:hAnsi="Tahoma" w:cs="Tahoma"/>
                <w:color w:val="000000"/>
                <w:spacing w:val="2"/>
                <w:sz w:val="21"/>
                <w:szCs w:val="21"/>
              </w:rPr>
              <w:t xml:space="preserve"> to major OEMs of Smart/Connected Mobile Devices for digital transformation in Web3 </w:t>
            </w:r>
            <w:r>
              <w:rPr>
                <w:rFonts w:hint="eastAsia" w:ascii="Tahoma" w:hAnsi="Tahoma" w:cs="Tahoma"/>
                <w:color w:val="000000"/>
                <w:spacing w:val="2"/>
                <w:sz w:val="21"/>
                <w:szCs w:val="21"/>
                <w:lang w:val="en-US"/>
              </w:rPr>
              <w:t>&amp; DePIN</w:t>
            </w:r>
            <w:r>
              <w:rPr>
                <w:rFonts w:ascii="Tahoma" w:hAnsi="Tahoma" w:cs="Tahoma"/>
                <w:color w:val="000000"/>
                <w:spacing w:val="2"/>
                <w:sz w:val="21"/>
                <w:szCs w:val="21"/>
                <w:lang w:val="en-US"/>
              </w:rPr>
              <w:t xml:space="preserve"> projects</w:t>
            </w:r>
            <w:r>
              <w:rPr>
                <w:rFonts w:hint="eastAsia" w:ascii="Tahoma" w:hAnsi="Tahoma" w:cs="Tahoma"/>
                <w:color w:val="000000"/>
                <w:spacing w:val="2"/>
                <w:sz w:val="21"/>
                <w:szCs w:val="21"/>
                <w:lang w:val="en-US"/>
              </w:rPr>
              <w:t>.</w:t>
            </w:r>
          </w:p>
        </w:tc>
      </w:tr>
      <w:tr>
        <w:trPr>
          <w:trHeight w:val="1835" w:hRule="atLeast"/>
        </w:trPr>
        <w:tc>
          <w:tcPr>
            <w:tcW w:w="2117" w:type="dxa"/>
            <w:tcBorders>
              <w:top w:val="single" w:color="2E75B5" w:sz="4" w:space="0"/>
              <w:left w:val="nil"/>
              <w:bottom w:val="single" w:color="2E75B5" w:sz="4" w:space="0"/>
              <w:right w:val="nil"/>
            </w:tcBorders>
          </w:tcPr>
          <w:p>
            <w:pPr>
              <w:pStyle w:val="7"/>
              <w:rPr>
                <w:rFonts w:ascii="Trebuchet MS" w:hAnsi="Trebuchet MS" w:eastAsia="SimHei"/>
                <w:caps/>
                <w:color w:val="1F4E79"/>
                <w:sz w:val="23"/>
                <w:szCs w:val="23"/>
              </w:rPr>
            </w:pPr>
            <w:r>
              <w:rPr>
                <w:rFonts w:ascii="Trebuchet MS" w:hAnsi="Trebuchet MS" w:eastAsia="SimHei"/>
                <w:caps/>
                <w:color w:val="0A1B9E"/>
                <w:sz w:val="23"/>
                <w:szCs w:val="23"/>
              </w:rPr>
              <w:t>Expertise</w:t>
            </w:r>
          </w:p>
        </w:tc>
        <w:tc>
          <w:tcPr>
            <w:tcW w:w="9368" w:type="dxa"/>
            <w:tcBorders>
              <w:top w:val="single" w:color="2E75B5" w:sz="4" w:space="0"/>
              <w:left w:val="nil"/>
              <w:bottom w:val="single" w:color="2E75B5" w:sz="4" w:space="0"/>
              <w:right w:val="nil"/>
            </w:tcBorders>
            <w:tcMar>
              <w:top w:w="144" w:type="dxa"/>
              <w:left w:w="274" w:type="dxa"/>
              <w:bottom w:w="72" w:type="dxa"/>
              <w:right w:w="0" w:type="dxa"/>
            </w:tcMar>
          </w:tcPr>
          <w:tbl>
            <w:tblPr>
              <w:tblStyle w:val="9"/>
              <w:tblW w:w="7825" w:type="dxa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single" w:color="2E75B5" w:sz="4" w:space="0"/>
                <w:insideV w:val="none" w:color="auto" w:sz="0" w:space="0"/>
              </w:tblBorders>
              <w:tblLayout w:type="fixed"/>
              <w:tblCellMar>
                <w:top w:w="144" w:type="dxa"/>
                <w:left w:w="0" w:type="dxa"/>
                <w:bottom w:w="144" w:type="dxa"/>
                <w:right w:w="0" w:type="dxa"/>
              </w:tblCellMar>
            </w:tblPr>
            <w:tblGrid>
              <w:gridCol w:w="3676"/>
              <w:gridCol w:w="4149"/>
            </w:tblGrid>
            <w:tr>
              <w:tc>
                <w:tcPr>
                  <w:tcW w:w="3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6"/>
                    <w:spacing w:after="60"/>
                    <w:ind w:left="0" w:firstLine="0"/>
                    <w:rPr>
                      <w:rFonts w:hint="default" w:ascii="Arial Bold" w:hAnsi="Arial Bold" w:cs="Arial Bold"/>
                      <w:b/>
                      <w:bCs/>
                      <w:color w:val="000000"/>
                    </w:rPr>
                  </w:pPr>
                  <w:r>
                    <w:rPr>
                      <w:rFonts w:hint="default" w:ascii="Arial Bold" w:hAnsi="Arial Bold" w:cs="Arial Bold"/>
                      <w:b/>
                      <w:bCs/>
                      <w:color w:val="000000"/>
                    </w:rPr>
                    <w:t>Semiconductors/Smart Cards</w:t>
                  </w:r>
                </w:p>
                <w:p>
                  <w:pPr>
                    <w:pStyle w:val="6"/>
                    <w:spacing w:after="60"/>
                    <w:ind w:left="0" w:firstLine="0"/>
                    <w:rPr>
                      <w:rFonts w:hint="default" w:ascii="Arial Bold" w:hAnsi="Arial Bold" w:cs="Arial Bold"/>
                      <w:b/>
                      <w:bCs/>
                      <w:color w:val="000000"/>
                    </w:rPr>
                  </w:pPr>
                  <w:r>
                    <w:rPr>
                      <w:rFonts w:hint="default" w:ascii="Arial Bold" w:hAnsi="Arial Bold" w:cs="Arial Bold"/>
                      <w:b/>
                      <w:bCs/>
                      <w:color w:val="000000"/>
                    </w:rPr>
                    <w:t>Contactless Mobile NFC Payments</w:t>
                  </w:r>
                </w:p>
                <w:p>
                  <w:pPr>
                    <w:pStyle w:val="6"/>
                    <w:spacing w:after="60"/>
                    <w:ind w:left="0" w:firstLine="0"/>
                    <w:rPr>
                      <w:rFonts w:hint="default" w:ascii="Arial Bold" w:hAnsi="Arial Bold" w:cs="Arial Bold"/>
                      <w:b/>
                      <w:bCs/>
                      <w:color w:val="000000"/>
                    </w:rPr>
                  </w:pPr>
                  <w:r>
                    <w:rPr>
                      <w:rFonts w:hint="default" w:ascii="Arial Bold" w:hAnsi="Arial Bold" w:cs="Arial Bold"/>
                      <w:b/>
                      <w:bCs/>
                      <w:color w:val="000000"/>
                    </w:rPr>
                    <w:t>Web3, Blockchains, Tokens</w:t>
                  </w:r>
                </w:p>
                <w:p>
                  <w:pPr>
                    <w:pStyle w:val="6"/>
                    <w:spacing w:after="60"/>
                    <w:ind w:left="0" w:firstLine="0"/>
                    <w:rPr>
                      <w:rFonts w:hint="default" w:ascii="Arial Bold" w:hAnsi="Arial Bold" w:cs="Arial Bold"/>
                      <w:b/>
                      <w:bCs/>
                      <w:color w:val="000000"/>
                    </w:rPr>
                  </w:pPr>
                  <w:r>
                    <w:rPr>
                      <w:rFonts w:hint="default" w:ascii="Arial Bold" w:hAnsi="Arial Bold" w:cs="Arial Bold"/>
                      <w:b/>
                      <w:bCs/>
                      <w:color w:val="000000"/>
                    </w:rPr>
                    <w:t>Cellular IoT Modules/Devices</w:t>
                  </w:r>
                </w:p>
                <w:p>
                  <w:pPr>
                    <w:pStyle w:val="6"/>
                    <w:spacing w:after="60"/>
                    <w:ind w:left="0" w:firstLine="0"/>
                    <w:rPr>
                      <w:b/>
                      <w:bCs/>
                      <w:color w:val="000000"/>
                    </w:rPr>
                  </w:pPr>
                  <w:r>
                    <w:rPr>
                      <w:rFonts w:hint="default" w:ascii="Arial Bold" w:hAnsi="Arial Bold" w:cs="Arial Bold"/>
                      <w:b/>
                      <w:bCs/>
                      <w:color w:val="000000"/>
                    </w:rPr>
                    <w:t xml:space="preserve">eSIM/eUICC &amp; iSIM (iUICC) </w:t>
                  </w:r>
                </w:p>
              </w:tc>
              <w:tc>
                <w:tcPr>
                  <w:tcW w:w="414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6"/>
                    <w:spacing w:after="60"/>
                    <w:ind w:firstLine="0"/>
                    <w:rPr>
                      <w:rFonts w:hint="default" w:ascii="Arial Regular" w:hAnsi="Arial Regular" w:cs="Arial Regular"/>
                      <w:b/>
                      <w:bCs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default" w:ascii="Arial Regular" w:hAnsi="Arial Regular" w:cs="Arial Regular"/>
                      <w:b/>
                      <w:bCs/>
                      <w:color w:val="000000"/>
                      <w:sz w:val="22"/>
                      <w:szCs w:val="22"/>
                    </w:rPr>
                    <w:t>TEE embedded device security</w:t>
                  </w:r>
                </w:p>
                <w:p>
                  <w:pPr>
                    <w:pStyle w:val="6"/>
                    <w:spacing w:after="60"/>
                    <w:ind w:firstLine="0"/>
                    <w:rPr>
                      <w:rFonts w:hint="default" w:ascii="Arial Regular" w:hAnsi="Arial Regular" w:cs="Arial Regular"/>
                      <w:b/>
                      <w:bCs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default" w:ascii="Arial Regular" w:hAnsi="Arial Regular" w:cs="Arial Regular"/>
                      <w:b/>
                      <w:bCs/>
                      <w:color w:val="000000"/>
                      <w:spacing w:val="2"/>
                      <w:sz w:val="22"/>
                      <w:szCs w:val="22"/>
                    </w:rPr>
                    <w:t>GSMA/Remote SIM Provisioning</w:t>
                  </w:r>
                </w:p>
                <w:p>
                  <w:pPr>
                    <w:pStyle w:val="6"/>
                    <w:spacing w:after="60"/>
                    <w:ind w:firstLine="0"/>
                    <w:rPr>
                      <w:rFonts w:hint="default" w:ascii="Arial Regular" w:hAnsi="Arial Regular" w:cs="Arial Regular"/>
                      <w:b/>
                      <w:bCs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default" w:ascii="Arial Regular" w:hAnsi="Arial Regular" w:cs="Arial Regular"/>
                      <w:b/>
                      <w:bCs/>
                      <w:color w:val="000000"/>
                      <w:spacing w:val="2"/>
                      <w:sz w:val="22"/>
                      <w:szCs w:val="22"/>
                    </w:rPr>
                    <w:t>Mobile device design-in Wins</w:t>
                  </w:r>
                </w:p>
                <w:p>
                  <w:pPr>
                    <w:pStyle w:val="6"/>
                    <w:spacing w:after="60"/>
                    <w:ind w:firstLine="0"/>
                    <w:rPr>
                      <w:rFonts w:hint="default" w:ascii="Arial Regular" w:hAnsi="Arial Regular" w:cs="Arial Regular"/>
                      <w:b/>
                      <w:bCs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default" w:ascii="Arial Regular" w:hAnsi="Arial Regular" w:cs="Arial Regular"/>
                      <w:b/>
                      <w:bCs/>
                      <w:color w:val="000000"/>
                      <w:spacing w:val="2"/>
                      <w:sz w:val="22"/>
                      <w:szCs w:val="22"/>
                    </w:rPr>
                    <w:t>Expatriate work in Asia &amp; Europe</w:t>
                  </w:r>
                </w:p>
                <w:p>
                  <w:pPr>
                    <w:pStyle w:val="6"/>
                    <w:spacing w:after="60"/>
                    <w:ind w:firstLine="0"/>
                    <w:rPr>
                      <w:rFonts w:hint="default" w:ascii="Arial Regular" w:hAnsi="Arial Regular" w:cs="Arial Regular"/>
                      <w:b/>
                      <w:bCs/>
                      <w:color w:val="000000"/>
                    </w:rPr>
                  </w:pPr>
                  <w:r>
                    <w:rPr>
                      <w:rFonts w:hint="default" w:ascii="Arial Regular" w:hAnsi="Arial Regular" w:cs="Arial Regular"/>
                      <w:b/>
                      <w:bCs/>
                      <w:color w:val="000000"/>
                      <w:spacing w:val="2"/>
                      <w:sz w:val="22"/>
                      <w:szCs w:val="22"/>
                    </w:rPr>
                    <w:t>Bilingual Mandarin Chinese skills</w:t>
                  </w:r>
                </w:p>
              </w:tc>
            </w:tr>
          </w:tbl>
          <w:p>
            <w:pPr>
              <w:pStyle w:val="6"/>
              <w:rPr>
                <w:color w:val="000000"/>
              </w:rPr>
            </w:pPr>
          </w:p>
        </w:tc>
      </w:tr>
      <w:tr>
        <w:tc>
          <w:tcPr>
            <w:tcW w:w="2117" w:type="dxa"/>
            <w:tcBorders>
              <w:top w:val="single" w:color="2E75B5" w:sz="4" w:space="0"/>
              <w:left w:val="nil"/>
              <w:bottom w:val="single" w:color="2E75B5" w:sz="4" w:space="0"/>
              <w:right w:val="nil"/>
            </w:tcBorders>
          </w:tcPr>
          <w:p>
            <w:pPr>
              <w:pStyle w:val="7"/>
              <w:rPr>
                <w:rFonts w:ascii="Trebuchet MS" w:hAnsi="Trebuchet MS" w:eastAsia="SimHei"/>
                <w:caps/>
                <w:color w:val="1F4E79"/>
                <w:sz w:val="23"/>
                <w:szCs w:val="23"/>
              </w:rPr>
            </w:pPr>
            <w:r>
              <w:rPr>
                <w:rFonts w:ascii="Trebuchet MS" w:hAnsi="Trebuchet MS" w:eastAsia="SimHei"/>
                <w:caps/>
                <w:color w:val="0A1B9E"/>
                <w:sz w:val="23"/>
                <w:szCs w:val="23"/>
              </w:rPr>
              <w:t>Professional Experience</w:t>
            </w:r>
          </w:p>
        </w:tc>
        <w:tc>
          <w:tcPr>
            <w:tcW w:w="9368" w:type="dxa"/>
            <w:tcBorders>
              <w:top w:val="single" w:color="2E75B5" w:sz="4" w:space="0"/>
              <w:left w:val="nil"/>
              <w:bottom w:val="single" w:color="2E75B5" w:sz="4" w:space="0"/>
              <w:right w:val="nil"/>
            </w:tcBorders>
            <w:tcMar>
              <w:top w:w="144" w:type="dxa"/>
              <w:left w:w="274" w:type="dxa"/>
              <w:bottom w:w="72" w:type="dxa"/>
              <w:right w:w="0" w:type="dxa"/>
            </w:tcMar>
          </w:tcPr>
          <w:p>
            <w:pPr>
              <w:pStyle w:val="7"/>
              <w:spacing w:before="0" w:beforeAutospacing="0" w:after="0" w:afterAutospacing="0"/>
              <w:rPr>
                <w:rFonts w:ascii="Trebuchet MS" w:hAnsi="Trebuchet MS" w:eastAsia="SimHei"/>
                <w:b/>
                <w:bCs/>
                <w:caps/>
                <w:color w:val="000000"/>
                <w:sz w:val="22"/>
                <w:szCs w:val="22"/>
              </w:rPr>
            </w:pPr>
            <w:r>
              <w:rPr>
                <w:rFonts w:ascii="Trebuchet MS" w:hAnsi="Trebuchet MS" w:eastAsia="SimHei"/>
                <w:b/>
                <w:bCs/>
                <w:caps/>
                <w:color w:val="000000"/>
                <w:sz w:val="22"/>
                <w:szCs w:val="22"/>
              </w:rPr>
              <w:t>Head of Community Growth/ co-founder – Arkreen network project</w:t>
            </w:r>
          </w:p>
          <w:p>
            <w:pPr>
              <w:pStyle w:val="7"/>
              <w:spacing w:before="0" w:beforeAutospacing="0" w:after="0" w:afterAutospacing="0"/>
              <w:rPr>
                <w:rFonts w:ascii="Trebuchet MS" w:hAnsi="Trebuchet MS" w:eastAsia="SimHei"/>
                <w:caps/>
                <w:color w:val="000000"/>
                <w:sz w:val="22"/>
                <w:szCs w:val="22"/>
              </w:rPr>
            </w:pPr>
            <w:r>
              <w:rPr>
                <w:rFonts w:ascii="Trebuchet MS" w:hAnsi="Trebuchet MS" w:eastAsia="SimHei"/>
                <w:caps/>
                <w:color w:val="000000"/>
                <w:sz w:val="22"/>
                <w:szCs w:val="22"/>
              </w:rPr>
              <w:t>aitos.io, Singapore office   NOVEMBER, 2021-Decemeber, 2023</w:t>
            </w:r>
          </w:p>
          <w:p>
            <w:pPr>
              <w:pStyle w:val="8"/>
              <w:numPr>
                <w:ilvl w:val="0"/>
                <w:numId w:val="1"/>
              </w:numPr>
              <w:spacing w:after="0"/>
              <w:ind w:left="360"/>
              <w:rPr>
                <w:rFonts w:ascii="Tahoma" w:hAnsi="Tahoma" w:eastAsia="Times New Roman" w:cs="Tahoma"/>
                <w:color w:val="000000"/>
                <w:sz w:val="20"/>
                <w:szCs w:val="20"/>
              </w:rPr>
            </w:pPr>
            <w:r>
              <w:rPr>
                <w:rFonts w:ascii="Tahoma" w:hAnsi="Tahoma" w:eastAsia="Times New Roman" w:cs="Tahoma"/>
                <w:color w:val="000000"/>
                <w:sz w:val="20"/>
                <w:szCs w:val="20"/>
                <w:shd w:val="clear" w:color="auto" w:fill="FFFFFF"/>
              </w:rPr>
              <w:t>Created and ran Arkreen Talk Twitter Spaces podcast for Web3 TiPIN &amp; DePIN guests.</w:t>
            </w:r>
          </w:p>
          <w:p>
            <w:pPr>
              <w:pStyle w:val="8"/>
              <w:numPr>
                <w:ilvl w:val="0"/>
                <w:numId w:val="1"/>
              </w:numPr>
              <w:spacing w:after="0"/>
              <w:ind w:left="360"/>
              <w:rPr>
                <w:rFonts w:ascii="Tahoma" w:hAnsi="Tahoma" w:eastAsia="Times New Roman" w:cs="Tahoma"/>
                <w:color w:val="000000"/>
                <w:sz w:val="20"/>
                <w:szCs w:val="20"/>
              </w:rPr>
            </w:pPr>
            <w:r>
              <w:rPr>
                <w:rFonts w:ascii="Tahoma" w:hAnsi="Tahoma" w:eastAsia="Times New Roman" w:cs="Tahoma"/>
                <w:color w:val="000000"/>
                <w:sz w:val="20"/>
                <w:szCs w:val="20"/>
                <w:shd w:val="clear" w:color="auto" w:fill="FFFFFF"/>
              </w:rPr>
              <w:t xml:space="preserve">Built Web3 ecosystem partner relations with Polygon, Helium, DePIN, etc </w:t>
            </w:r>
          </w:p>
          <w:p>
            <w:pPr>
              <w:pStyle w:val="8"/>
              <w:numPr>
                <w:ilvl w:val="0"/>
                <w:numId w:val="1"/>
              </w:numPr>
              <w:spacing w:after="0"/>
              <w:ind w:left="360"/>
              <w:rPr>
                <w:rFonts w:ascii="Tahoma" w:hAnsi="Tahoma" w:eastAsia="Times New Roman" w:cs="Tahoma"/>
                <w:color w:val="000000"/>
                <w:sz w:val="20"/>
                <w:szCs w:val="20"/>
              </w:rPr>
            </w:pPr>
            <w:r>
              <w:rPr>
                <w:rFonts w:ascii="Tahoma" w:hAnsi="Tahoma" w:eastAsia="Times New Roman" w:cs="Tahoma"/>
                <w:color w:val="000000"/>
                <w:sz w:val="20"/>
                <w:szCs w:val="20"/>
                <w:shd w:val="clear" w:color="auto" w:fill="FFFFFF"/>
              </w:rPr>
              <w:t>Hosted Hong Kong Web3 panel session: “Tokenized RECs for Net Zero Web3”.</w:t>
            </w:r>
          </w:p>
          <w:p>
            <w:pPr>
              <w:pStyle w:val="8"/>
              <w:numPr>
                <w:ilvl w:val="0"/>
                <w:numId w:val="1"/>
              </w:numPr>
              <w:spacing w:after="0"/>
              <w:ind w:left="360"/>
              <w:rPr>
                <w:rFonts w:ascii="Tahoma" w:hAnsi="Tahoma" w:eastAsia="Times New Roman" w:cs="Tahoma"/>
                <w:color w:val="000000"/>
                <w:sz w:val="20"/>
                <w:szCs w:val="20"/>
              </w:rPr>
            </w:pPr>
            <w:r>
              <w:rPr>
                <w:rFonts w:ascii="Tahoma" w:hAnsi="Tahoma" w:eastAsia="Times New Roman" w:cs="Tahoma"/>
                <w:b/>
                <w:bCs/>
                <w:color w:val="000000"/>
                <w:sz w:val="20"/>
                <w:szCs w:val="20"/>
                <w:shd w:val="clear" w:color="auto" w:fill="FFFFFF"/>
              </w:rPr>
              <w:t>Brainstormed Arkreen name (The Green Ark) in 2022, contributions include building Arkreen Network, and contributing to the white paper</w:t>
            </w:r>
            <w:r>
              <w:rPr>
                <w:rFonts w:ascii="Tahoma" w:hAnsi="Tahoma" w:eastAsia="Times New Roman" w:cs="Tahoma"/>
                <w:color w:val="000000"/>
                <w:sz w:val="20"/>
                <w:szCs w:val="20"/>
                <w:shd w:val="clear" w:color="auto" w:fill="FFFFFF"/>
              </w:rPr>
              <w:t xml:space="preserve"> “Arkreen Network”.</w:t>
            </w:r>
          </w:p>
          <w:p>
            <w:pPr>
              <w:pStyle w:val="8"/>
              <w:spacing w:after="0"/>
              <w:ind w:left="360"/>
              <w:rPr>
                <w:rFonts w:ascii="Tahoma" w:hAnsi="Tahoma" w:eastAsia="Times New Roman" w:cs="Tahoma"/>
                <w:color w:val="000000"/>
                <w:sz w:val="20"/>
                <w:szCs w:val="20"/>
              </w:rPr>
            </w:pPr>
            <w:r>
              <w:rPr>
                <w:rFonts w:ascii="Tahoma" w:hAnsi="Tahoma" w:eastAsia="Times New Roman" w:cs="Tahoma"/>
                <w:color w:val="000000"/>
                <w:sz w:val="20"/>
                <w:szCs w:val="20"/>
                <w:shd w:val="clear" w:color="auto" w:fill="FFFFFF"/>
              </w:rPr>
              <w:t xml:space="preserve">a Web3 infrastructure service for renewable energy resources,  tokenizing RECs for a crypto-economic Web3 TiPIN/DePIN physical infrastructure business model.  </w:t>
            </w:r>
          </w:p>
          <w:p>
            <w:pPr>
              <w:pStyle w:val="8"/>
              <w:spacing w:after="0"/>
              <w:rPr>
                <w:rFonts w:ascii="Tahoma" w:hAnsi="Tahoma" w:eastAsia="Times New Roman" w:cs="Tahoma"/>
                <w:color w:val="000000"/>
                <w:sz w:val="20"/>
                <w:szCs w:val="20"/>
              </w:rPr>
            </w:pPr>
          </w:p>
          <w:p>
            <w:pPr>
              <w:pStyle w:val="7"/>
              <w:spacing w:before="0" w:beforeAutospacing="0" w:after="0" w:afterAutospacing="0"/>
              <w:rPr>
                <w:rFonts w:ascii="Trebuchet MS" w:hAnsi="Trebuchet MS" w:eastAsia="SimHei"/>
                <w:b/>
                <w:bCs/>
                <w:caps/>
                <w:color w:val="000000"/>
                <w:sz w:val="22"/>
                <w:szCs w:val="22"/>
              </w:rPr>
            </w:pPr>
            <w:r>
              <w:rPr>
                <w:rFonts w:ascii="Trebuchet MS" w:hAnsi="Trebuchet MS" w:eastAsia="SimHei"/>
                <w:b/>
                <w:bCs/>
                <w:caps/>
                <w:color w:val="000000"/>
                <w:sz w:val="22"/>
                <w:szCs w:val="22"/>
              </w:rPr>
              <w:t xml:space="preserve">Global Business Development Director - Blockchain + IoT </w:t>
            </w:r>
            <w:r>
              <w:rPr>
                <w:rFonts w:ascii="Trebuchet MS" w:hAnsi="Trebuchet MS" w:eastAsia="SimHei"/>
                <w:b/>
                <w:bCs/>
                <w:caps/>
                <w:color w:val="000000"/>
                <w:sz w:val="22"/>
                <w:szCs w:val="22"/>
              </w:rPr>
              <w:br w:type="textWrapping"/>
            </w:r>
            <w:r>
              <w:rPr>
                <w:rFonts w:ascii="Trebuchet MS" w:hAnsi="Trebuchet MS" w:eastAsia="SimHei"/>
                <w:b/>
                <w:bCs/>
                <w:caps/>
                <w:color w:val="000000"/>
                <w:sz w:val="22"/>
                <w:szCs w:val="22"/>
              </w:rPr>
              <w:t xml:space="preserve">Aitos.io  (remote from SEATTLE)  </w:t>
            </w:r>
            <w:r>
              <w:rPr>
                <w:rFonts w:ascii="Trebuchet MS" w:hAnsi="Trebuchet MS" w:eastAsia="SimHei"/>
                <w:color w:val="000000"/>
                <w:sz w:val="22"/>
                <w:szCs w:val="22"/>
              </w:rPr>
              <w:t>FEBRUARY 2020 – NOVEMBER 2021</w:t>
            </w:r>
          </w:p>
          <w:p>
            <w:pPr>
              <w:pStyle w:val="8"/>
              <w:numPr>
                <w:ilvl w:val="0"/>
                <w:numId w:val="2"/>
              </w:numPr>
              <w:spacing w:after="0"/>
              <w:ind w:left="360"/>
              <w:rPr>
                <w:rFonts w:ascii="Tahoma" w:hAnsi="Tahoma" w:eastAsia="Times New Roman" w:cs="Tahoma"/>
                <w:color w:val="000000"/>
                <w:sz w:val="20"/>
                <w:szCs w:val="20"/>
              </w:rPr>
            </w:pPr>
            <w:r>
              <w:rPr>
                <w:rFonts w:ascii="Tahoma" w:hAnsi="Tahoma" w:eastAsia="Times New Roman" w:cs="Tahoma"/>
                <w:b/>
                <w:bCs/>
                <w:color w:val="000000"/>
                <w:sz w:val="20"/>
                <w:szCs w:val="20"/>
                <w:shd w:val="clear" w:color="auto" w:fill="FFFFFF"/>
              </w:rPr>
              <w:t>Built MNO</w:t>
            </w:r>
            <w:r>
              <w:rPr>
                <w:rFonts w:ascii="Tahoma" w:hAnsi="Tahoma" w:eastAsia="Times New Roman" w:cs="Tahoma"/>
                <w:color w:val="000000"/>
                <w:sz w:val="20"/>
                <w:szCs w:val="20"/>
                <w:shd w:val="clear" w:color="auto" w:fill="FFFFFF"/>
              </w:rPr>
              <w:t xml:space="preserve">, </w:t>
            </w:r>
            <w:r>
              <w:rPr>
                <w:rFonts w:ascii="Tahoma" w:hAnsi="Tahoma" w:eastAsia="Times New Roman" w:cs="Tahoma"/>
                <w:b/>
                <w:bCs/>
                <w:color w:val="000000"/>
                <w:sz w:val="20"/>
                <w:szCs w:val="20"/>
                <w:shd w:val="clear" w:color="auto" w:fill="FFFFFF"/>
              </w:rPr>
              <w:t>Cloud Service Provider</w:t>
            </w:r>
            <w:r>
              <w:rPr>
                <w:rFonts w:ascii="Tahoma" w:hAnsi="Tahoma" w:eastAsia="Times New Roman" w:cs="Tahoma"/>
                <w:color w:val="000000"/>
                <w:sz w:val="20"/>
                <w:szCs w:val="20"/>
                <w:shd w:val="clear" w:color="auto" w:fill="FFFFFF"/>
              </w:rPr>
              <w:t xml:space="preserve"> and </w:t>
            </w:r>
            <w:r>
              <w:rPr>
                <w:rFonts w:ascii="Tahoma" w:hAnsi="Tahoma" w:eastAsia="Times New Roman" w:cs="Tahoma"/>
                <w:b/>
                <w:bCs/>
                <w:color w:val="000000"/>
                <w:sz w:val="20"/>
                <w:szCs w:val="20"/>
                <w:shd w:val="clear" w:color="auto" w:fill="FFFFFF"/>
              </w:rPr>
              <w:t>IoT Module/Device ecosystem vendor engagements</w:t>
            </w:r>
            <w:r>
              <w:rPr>
                <w:rFonts w:ascii="Tahoma" w:hAnsi="Tahoma" w:eastAsia="Times New Roman" w:cs="Tahoma"/>
                <w:color w:val="000000"/>
                <w:sz w:val="20"/>
                <w:szCs w:val="20"/>
                <w:shd w:val="clear" w:color="auto" w:fill="FFFFFF"/>
              </w:rPr>
              <w:t xml:space="preserve"> for Proof of Concept Projects globally for our “BoAT” SDK – Blockchain of AI Things with enterprise consortium blockchains.</w:t>
            </w:r>
          </w:p>
          <w:p>
            <w:pPr>
              <w:pStyle w:val="8"/>
              <w:numPr>
                <w:ilvl w:val="0"/>
                <w:numId w:val="2"/>
              </w:numPr>
              <w:spacing w:after="0"/>
              <w:ind w:left="360"/>
              <w:rPr>
                <w:rFonts w:ascii="Tahoma" w:hAnsi="Tahoma" w:eastAsia="Times New Roman" w:cs="Tahoma"/>
                <w:color w:val="000000"/>
                <w:sz w:val="20"/>
                <w:szCs w:val="20"/>
              </w:rPr>
            </w:pPr>
            <w:r>
              <w:rPr>
                <w:rFonts w:ascii="Tahoma" w:hAnsi="Tahoma" w:eastAsia="Times New Roman" w:cs="Tahoma"/>
                <w:color w:val="000000"/>
                <w:sz w:val="20"/>
                <w:szCs w:val="20"/>
                <w:shd w:val="clear" w:color="auto" w:fill="FFFFFF"/>
              </w:rPr>
              <w:t xml:space="preserve">Created White papers &amp;  press releases as Bus. Dev. Director for first phase of </w:t>
            </w:r>
            <w:r>
              <w:rPr>
                <w:rFonts w:ascii="Tahoma" w:hAnsi="Tahoma" w:eastAsia="Times New Roman" w:cs="Tahoma"/>
                <w:b/>
                <w:bCs/>
                <w:color w:val="000000"/>
                <w:sz w:val="20"/>
                <w:szCs w:val="20"/>
                <w:shd w:val="clear" w:color="auto" w:fill="FFFFFF"/>
              </w:rPr>
              <w:t>global goto market strategy</w:t>
            </w:r>
            <w:r>
              <w:rPr>
                <w:rFonts w:ascii="Tahoma" w:hAnsi="Tahoma" w:eastAsia="Times New Roman" w:cs="Tahoma"/>
                <w:color w:val="000000"/>
                <w:sz w:val="20"/>
                <w:szCs w:val="20"/>
                <w:shd w:val="clear" w:color="auto" w:fill="FFFFFF"/>
              </w:rPr>
              <w:t xml:space="preserve">. </w:t>
            </w:r>
          </w:p>
          <w:p>
            <w:pPr>
              <w:pStyle w:val="8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240"/>
              <w:ind w:left="360"/>
              <w:outlineLvl w:val="0"/>
              <w:rPr>
                <w:rFonts w:ascii="Tahoma" w:hAnsi="Tahoma" w:eastAsia="Times New Roman" w:cs="Tahoma"/>
                <w:color w:val="000000"/>
                <w:sz w:val="20"/>
                <w:szCs w:val="20"/>
              </w:rPr>
            </w:pPr>
            <w:r>
              <w:rPr>
                <w:rFonts w:ascii="Tahoma" w:hAnsi="Tahoma" w:eastAsia="Times New Roman" w:cs="Tahoma"/>
                <w:color w:val="000000"/>
                <w:sz w:val="20"/>
                <w:szCs w:val="20"/>
                <w:shd w:val="clear" w:color="auto" w:fill="FFFFFF"/>
              </w:rPr>
              <w:t xml:space="preserve">Responsible for Telefonica (of Spain) Blockchain proof of concept project, 2020, Negotiated with Vodafone on an Electric Vehicle charging station project in 2021 </w:t>
            </w:r>
          </w:p>
          <w:p>
            <w:pPr>
              <w:pStyle w:val="7"/>
              <w:spacing w:before="0" w:beforeAutospacing="0" w:after="0" w:afterAutospacing="0"/>
              <w:rPr>
                <w:rFonts w:ascii="Trebuchet MS" w:hAnsi="Trebuchet MS" w:eastAsia="SimHei"/>
                <w:b/>
                <w:bCs/>
                <w:caps/>
                <w:color w:val="000000"/>
                <w:sz w:val="22"/>
                <w:szCs w:val="22"/>
              </w:rPr>
            </w:pPr>
            <w:r>
              <w:rPr>
                <w:rFonts w:ascii="Trebuchet MS" w:hAnsi="Trebuchet MS" w:eastAsia="SimHei"/>
                <w:b/>
                <w:bCs/>
                <w:caps/>
                <w:color w:val="000000"/>
                <w:sz w:val="22"/>
                <w:szCs w:val="22"/>
              </w:rPr>
              <w:t xml:space="preserve">Blockchain Mobile Device Security – Mobile ECOSYSTEM DIRECTOR </w:t>
            </w:r>
            <w:r>
              <w:rPr>
                <w:rFonts w:ascii="Trebuchet MS" w:hAnsi="Trebuchet MS" w:eastAsia="SimHei"/>
                <w:b/>
                <w:bCs/>
                <w:caps/>
                <w:color w:val="000000"/>
                <w:sz w:val="22"/>
                <w:szCs w:val="22"/>
              </w:rPr>
              <w:br w:type="textWrapping"/>
            </w:r>
            <w:r>
              <w:rPr>
                <w:rFonts w:ascii="Trebuchet MS" w:hAnsi="Trebuchet MS" w:eastAsia="SimHei"/>
                <w:b/>
                <w:bCs/>
                <w:caps/>
                <w:color w:val="000000"/>
                <w:sz w:val="22"/>
                <w:szCs w:val="22"/>
              </w:rPr>
              <w:t xml:space="preserve">Rivetz Corp, Richland, MA (Remote from SEATTLE) </w:t>
            </w:r>
            <w:r>
              <w:rPr>
                <w:rFonts w:ascii="Trebuchet MS" w:hAnsi="Trebuchet MS" w:eastAsia="SimHei"/>
                <w:color w:val="000000"/>
                <w:sz w:val="22"/>
                <w:szCs w:val="22"/>
              </w:rPr>
              <w:t>January 2018 – February 2020</w:t>
            </w:r>
          </w:p>
          <w:p>
            <w:pPr>
              <w:pStyle w:val="8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/>
              <w:outlineLvl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Developed/led </w:t>
            </w: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Mobile security partnership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 with </w:t>
            </w: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Samsung Mobile Communications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 of Knox Mobile Security Program for Dual Roots Tech.</w:t>
            </w:r>
          </w:p>
          <w:p>
            <w:pPr>
              <w:pStyle w:val="8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/>
              <w:outlineLvl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Successful design-in wins with:  </w:t>
            </w: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Huawei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ZTE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Xiaomi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Lenovo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HTC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 for Rivetz “Dual Roots of Trust “pioneering” embedded Security for Android OS, Blockchain designed Smartphones.</w:t>
            </w:r>
          </w:p>
          <w:p>
            <w:pPr>
              <w:pStyle w:val="8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/>
              <w:outlineLvl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Established IoT partner (AiTos) for </w:t>
            </w: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Connected Car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 project w/</w:t>
            </w: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China Unicom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 </w:t>
            </w:r>
          </w:p>
          <w:p>
            <w:pPr>
              <w:pStyle w:val="8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240"/>
              <w:outlineLvl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Successfully projected </w:t>
            </w: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Dual Roots for Blockchain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 edge device security standardization in China, Korea and Japan.</w:t>
            </w:r>
          </w:p>
          <w:p>
            <w:pPr>
              <w:pStyle w:val="7"/>
              <w:spacing w:before="0" w:beforeAutospacing="0" w:after="0" w:afterAutospacing="0"/>
              <w:rPr>
                <w:rFonts w:ascii="Trebuchet MS" w:hAnsi="Trebuchet MS" w:eastAsia="SimHei"/>
                <w:b/>
                <w:bCs/>
                <w:caps/>
                <w:color w:val="000000"/>
                <w:sz w:val="22"/>
                <w:szCs w:val="22"/>
              </w:rPr>
            </w:pPr>
          </w:p>
          <w:p>
            <w:pPr>
              <w:pStyle w:val="7"/>
              <w:spacing w:before="0" w:beforeAutospacing="0" w:after="0" w:afterAutospacing="0"/>
              <w:rPr>
                <w:rFonts w:ascii="Trebuchet MS" w:hAnsi="Trebuchet MS" w:eastAsia="SimHei"/>
                <w:b/>
                <w:bCs/>
                <w:caps/>
                <w:color w:val="000000"/>
                <w:sz w:val="22"/>
                <w:szCs w:val="22"/>
              </w:rPr>
            </w:pPr>
          </w:p>
          <w:p>
            <w:pPr>
              <w:pStyle w:val="7"/>
              <w:spacing w:before="0" w:beforeAutospacing="0" w:after="0" w:afterAutospacing="0"/>
              <w:rPr>
                <w:rFonts w:ascii="Trebuchet MS" w:hAnsi="Trebuchet MS" w:eastAsia="SimHei"/>
                <w:color w:val="000000"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ascii="Trebuchet MS" w:hAnsi="Trebuchet MS" w:eastAsia="SimHei"/>
                <w:b/>
                <w:bCs/>
                <w:caps/>
                <w:color w:val="000000"/>
                <w:sz w:val="22"/>
                <w:szCs w:val="22"/>
              </w:rPr>
              <w:t xml:space="preserve">eSIM/iSIM Accounts Manager - Greater CHina  </w:t>
            </w:r>
            <w:r>
              <w:rPr>
                <w:rFonts w:ascii="Trebuchet MS" w:hAnsi="Trebuchet MS" w:eastAsia="SimHei"/>
                <w:b/>
                <w:bCs/>
                <w:caps/>
                <w:color w:val="000000"/>
                <w:sz w:val="22"/>
                <w:szCs w:val="22"/>
              </w:rPr>
              <w:br w:type="textWrapping"/>
            </w:r>
            <w:r>
              <w:rPr>
                <w:rFonts w:ascii="Trebuchet MS" w:hAnsi="Trebuchet MS" w:eastAsia="SimHei"/>
                <w:b/>
                <w:bCs/>
                <w:caps/>
                <w:color w:val="000000"/>
                <w:sz w:val="22"/>
                <w:szCs w:val="22"/>
              </w:rPr>
              <w:t xml:space="preserve">ARM Bellevue Office (MONTHLY ASIA TRAVEL) </w:t>
            </w:r>
            <w:r>
              <w:rPr>
                <w:rFonts w:ascii="Trebuchet MS" w:hAnsi="Trebuchet MS" w:eastAsia="SimHei"/>
                <w:color w:val="000000"/>
                <w:sz w:val="22"/>
                <w:szCs w:val="22"/>
              </w:rPr>
              <w:t>January 2017 – February 2018</w:t>
            </w:r>
          </w:p>
          <w:p>
            <w:pPr>
              <w:pStyle w:val="8"/>
              <w:widowControl w:val="0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240"/>
              <w:outlineLvl w:val="0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Built huge sales funnel of </w:t>
            </w: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Cellular Module and Smart Card Chips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 </w:t>
            </w:r>
          </w:p>
          <w:p>
            <w:pPr>
              <w:pStyle w:val="8"/>
              <w:widowControl w:val="0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240"/>
              <w:outlineLvl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Participation @2017 CES Asia &amp; Mobile World Congress Shanghai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.</w:t>
            </w:r>
          </w:p>
          <w:p>
            <w:pPr>
              <w:pStyle w:val="8"/>
              <w:widowControl w:val="0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240"/>
              <w:outlineLvl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Built RSP distribution channels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 with two top Chinese MNVOs:  </w:t>
            </w: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Red Tea Mobile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 and </w:t>
            </w: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Shanghai Gotell/Roam2Free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.</w:t>
            </w:r>
          </w:p>
          <w:p>
            <w:pPr>
              <w:pStyle w:val="8"/>
              <w:widowControl w:val="0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240"/>
              <w:outlineLvl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Expanding business Relationships with </w:t>
            </w: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Quectel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HED Huada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Infineon Beijing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, </w:t>
            </w:r>
          </w:p>
          <w:p>
            <w:pPr>
              <w:pStyle w:val="8"/>
              <w:widowControl w:val="0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240"/>
              <w:outlineLvl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MediaTek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Qualcomm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, and </w:t>
            </w: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Hi Silicon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>
            <w:pPr>
              <w:pStyle w:val="8"/>
              <w:widowControl w:val="0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240"/>
              <w:outlineLvl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Created Market analysis of China’s NB-IOT chip market with MNOs for Cellular Module Chip projects/partnerships.</w:t>
            </w:r>
          </w:p>
          <w:p>
            <w:pPr>
              <w:pStyle w:val="8"/>
              <w:widowControl w:val="0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240"/>
              <w:outlineLvl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Negotiated major new Project partner: UCLoudy for ARM MBed &amp; PSA security.</w:t>
            </w:r>
          </w:p>
          <w:p>
            <w:pPr>
              <w:pStyle w:val="7"/>
              <w:spacing w:before="0" w:beforeAutospacing="0" w:after="0" w:afterAutospacing="0"/>
              <w:rPr>
                <w:rFonts w:ascii="Trebuchet MS" w:hAnsi="Trebuchet MS" w:eastAsia="SimHei"/>
                <w:b/>
                <w:bCs/>
                <w:caps/>
                <w:color w:val="000000"/>
                <w:sz w:val="22"/>
                <w:szCs w:val="22"/>
              </w:rPr>
            </w:pPr>
          </w:p>
          <w:p>
            <w:pPr>
              <w:pStyle w:val="7"/>
              <w:spacing w:before="0" w:beforeAutospacing="0" w:after="0" w:afterAutospacing="0"/>
              <w:rPr>
                <w:rFonts w:ascii="Trebuchet MS" w:hAnsi="Trebuchet MS" w:eastAsia="SimHei"/>
                <w:b/>
                <w:bCs/>
                <w:caps/>
                <w:color w:val="000000"/>
                <w:sz w:val="22"/>
                <w:szCs w:val="22"/>
              </w:rPr>
            </w:pPr>
            <w:r>
              <w:rPr>
                <w:rFonts w:ascii="Trebuchet MS" w:hAnsi="Trebuchet MS" w:eastAsia="SimHei"/>
                <w:b/>
                <w:bCs/>
                <w:caps/>
                <w:color w:val="000000"/>
                <w:sz w:val="22"/>
                <w:szCs w:val="22"/>
              </w:rPr>
              <w:t>OEM  business Development Manager – eSIM operating System</w:t>
            </w:r>
            <w:r>
              <w:rPr>
                <w:rFonts w:ascii="Trebuchet MS" w:hAnsi="Trebuchet MS" w:eastAsia="SimHei"/>
                <w:b/>
                <w:bCs/>
                <w:caps/>
                <w:color w:val="000000"/>
                <w:sz w:val="22"/>
                <w:szCs w:val="22"/>
              </w:rPr>
              <w:br w:type="textWrapping"/>
            </w:r>
            <w:r>
              <w:rPr>
                <w:rFonts w:ascii="Trebuchet MS" w:hAnsi="Trebuchet MS" w:eastAsia="SimHei"/>
                <w:b/>
                <w:bCs/>
                <w:caps/>
                <w:color w:val="000000"/>
                <w:sz w:val="22"/>
                <w:szCs w:val="22"/>
              </w:rPr>
              <w:t xml:space="preserve">Oasis Smart SIM – Singapore (REMOTE from SEATTLE) </w:t>
            </w:r>
            <w:r>
              <w:rPr>
                <w:rFonts w:ascii="Trebuchet MS" w:hAnsi="Trebuchet MS" w:eastAsia="SimHei"/>
                <w:color w:val="000000"/>
                <w:sz w:val="22"/>
                <w:szCs w:val="22"/>
              </w:rPr>
              <w:t>January 2016 – February 2017</w:t>
            </w:r>
          </w:p>
          <w:p>
            <w:pPr>
              <w:pStyle w:val="8"/>
              <w:numPr>
                <w:ilvl w:val="0"/>
                <w:numId w:val="5"/>
              </w:numPr>
              <w:spacing w:after="200" w:line="271" w:lineRule="auto"/>
              <w:rPr>
                <w:rFonts w:ascii="Tahoma" w:hAnsi="Tahoma" w:eastAsia="SimSun"/>
                <w:color w:val="1D1D1D"/>
                <w:sz w:val="20"/>
                <w:szCs w:val="20"/>
              </w:rPr>
            </w:pPr>
            <w:r>
              <w:rPr>
                <w:rFonts w:ascii="Tahoma" w:hAnsi="Tahoma"/>
                <w:color w:val="1D1D1D"/>
                <w:sz w:val="20"/>
                <w:szCs w:val="20"/>
              </w:rPr>
              <w:t xml:space="preserve">Drove new business partnerships for design wins with Xiaomi, ZTE (Nubia), Huawei, LGE, Tencent, Goertek, Mobvoi, Blocks, Shenzhen Snowball.  </w:t>
            </w:r>
          </w:p>
          <w:p>
            <w:pPr>
              <w:pStyle w:val="8"/>
              <w:numPr>
                <w:ilvl w:val="0"/>
                <w:numId w:val="5"/>
              </w:numPr>
              <w:spacing w:after="200" w:line="271" w:lineRule="auto"/>
              <w:rPr>
                <w:rFonts w:ascii="Tahoma" w:hAnsi="Tahoma"/>
                <w:color w:val="1D1D1D"/>
                <w:sz w:val="20"/>
                <w:szCs w:val="20"/>
              </w:rPr>
            </w:pPr>
            <w:r>
              <w:rPr>
                <w:rFonts w:ascii="Tahoma" w:hAnsi="Tahoma"/>
                <w:color w:val="1D1D1D"/>
                <w:sz w:val="20"/>
                <w:szCs w:val="20"/>
              </w:rPr>
              <w:t xml:space="preserve">Established partnership with NXP-partner </w:t>
            </w:r>
            <w:r>
              <w:rPr>
                <w:rFonts w:ascii="Tahoma" w:hAnsi="Tahoma"/>
                <w:b/>
                <w:bCs/>
                <w:i/>
                <w:iCs/>
                <w:color w:val="1D1D1D"/>
                <w:sz w:val="20"/>
                <w:szCs w:val="20"/>
              </w:rPr>
              <w:t>Shenzhen Snowball Technologies</w:t>
            </w:r>
            <w:r>
              <w:rPr>
                <w:rFonts w:ascii="Tahoma" w:hAnsi="Tahoma"/>
                <w:color w:val="1D1D1D"/>
                <w:sz w:val="20"/>
                <w:szCs w:val="20"/>
              </w:rPr>
              <w:t xml:space="preserve"> on wearable smart watches strategy with eSIM, targeted for subway </w:t>
            </w:r>
            <w:r>
              <w:rPr>
                <w:rFonts w:hint="default" w:ascii="Tahoma" w:hAnsi="Tahoma"/>
                <w:color w:val="1D1D1D"/>
                <w:sz w:val="20"/>
                <w:szCs w:val="20"/>
                <w:lang w:val="en-US"/>
              </w:rPr>
              <w:t xml:space="preserve">transit system </w:t>
            </w:r>
            <w:r>
              <w:rPr>
                <w:rFonts w:ascii="Tahoma" w:hAnsi="Tahoma"/>
                <w:color w:val="1D1D1D"/>
                <w:sz w:val="20"/>
                <w:szCs w:val="20"/>
              </w:rPr>
              <w:t xml:space="preserve">over-the-air payments platform wearable OS partnerships,  </w:t>
            </w:r>
          </w:p>
          <w:p>
            <w:pPr>
              <w:pStyle w:val="8"/>
              <w:numPr>
                <w:ilvl w:val="0"/>
                <w:numId w:val="5"/>
              </w:numPr>
              <w:spacing w:after="200" w:line="271" w:lineRule="auto"/>
              <w:rPr>
                <w:rFonts w:ascii="Tahoma" w:hAnsi="Tahoma"/>
                <w:color w:val="1D1D1D"/>
                <w:sz w:val="20"/>
                <w:szCs w:val="20"/>
              </w:rPr>
            </w:pPr>
            <w:r>
              <w:rPr>
                <w:rFonts w:ascii="Tahoma" w:hAnsi="Tahoma"/>
                <w:color w:val="1D1D1D"/>
                <w:sz w:val="20"/>
                <w:szCs w:val="20"/>
              </w:rPr>
              <w:t>Engineered partnership with Samsung Smart Watches in T-Mobile HQ.</w:t>
            </w:r>
          </w:p>
          <w:p>
            <w:pPr>
              <w:pStyle w:val="7"/>
              <w:spacing w:before="0" w:beforeAutospacing="0" w:after="0" w:afterAutospacing="0"/>
              <w:rPr>
                <w:rFonts w:ascii="Trebuchet MS" w:hAnsi="Trebuchet MS" w:eastAsia="SimHei"/>
                <w:b/>
                <w:bCs/>
                <w:caps/>
                <w:color w:val="000000"/>
                <w:sz w:val="22"/>
                <w:szCs w:val="22"/>
              </w:rPr>
            </w:pPr>
            <w:r>
              <w:rPr>
                <w:rFonts w:ascii="Trebuchet MS" w:hAnsi="Trebuchet MS" w:eastAsia="SimHei"/>
                <w:b/>
                <w:bCs/>
                <w:caps/>
                <w:color w:val="000000"/>
                <w:sz w:val="22"/>
                <w:szCs w:val="22"/>
              </w:rPr>
              <w:t xml:space="preserve">NFC Payments &amp; TEE Security – COuntry BUSINESS DEVELOPMENT Manager </w:t>
            </w:r>
            <w:r>
              <w:rPr>
                <w:rFonts w:ascii="Trebuchet MS" w:hAnsi="Trebuchet MS" w:eastAsia="SimHei"/>
                <w:b/>
                <w:bCs/>
                <w:caps/>
                <w:color w:val="000000"/>
                <w:sz w:val="22"/>
                <w:szCs w:val="22"/>
              </w:rPr>
              <w:br w:type="textWrapping"/>
            </w:r>
            <w:r>
              <w:rPr>
                <w:rFonts w:ascii="Trebuchet MS" w:hAnsi="Trebuchet MS" w:eastAsia="SimHei"/>
                <w:b/>
                <w:bCs/>
                <w:caps/>
                <w:color w:val="000000"/>
                <w:sz w:val="22"/>
                <w:szCs w:val="22"/>
              </w:rPr>
              <w:t>Gemalto &amp; Trustonic, Beijing, China (EX-PAT)</w:t>
            </w:r>
            <w:r>
              <w:rPr>
                <w:rFonts w:ascii="Trebuchet MS" w:hAnsi="Trebuchet MS" w:eastAsia="SimHei"/>
                <w:color w:val="000000"/>
                <w:sz w:val="22"/>
                <w:szCs w:val="22"/>
              </w:rPr>
              <w:t>February 2008 –JULY 2013</w:t>
            </w:r>
          </w:p>
          <w:p>
            <w:pPr>
              <w:pStyle w:val="8"/>
              <w:numPr>
                <w:ilvl w:val="0"/>
                <w:numId w:val="1"/>
              </w:numPr>
              <w:spacing w:after="200" w:line="271" w:lineRule="auto"/>
              <w:ind w:left="360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Negotiated several Smartphone design wins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 for Gemalto Mobile NFC (SWP) USIM cards at Motorola China, Sony-Ericsson China, Huawei, ZTE, Lenovo, TCL, Yulong, HTC &amp; Acer.</w:t>
            </w:r>
          </w:p>
          <w:p>
            <w:pPr>
              <w:pStyle w:val="8"/>
              <w:numPr>
                <w:ilvl w:val="0"/>
                <w:numId w:val="1"/>
              </w:numPr>
              <w:spacing w:after="200" w:line="271" w:lineRule="auto"/>
              <w:ind w:left="360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Drove adoption of Trusted Logic NFC software stack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 and </w:t>
            </w: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Tablet PC-DRM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 at </w:t>
            </w: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HTC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AsusTek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Acer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 and Chinese Payments vendors, generating over € 500K </w:t>
            </w:r>
          </w:p>
          <w:p>
            <w:pPr>
              <w:pStyle w:val="8"/>
              <w:numPr>
                <w:ilvl w:val="0"/>
                <w:numId w:val="1"/>
              </w:numPr>
              <w:spacing w:after="200" w:line="271" w:lineRule="auto"/>
              <w:ind w:left="360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Closed TEE (</w:t>
            </w: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embedded Mobile device security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) orders at </w:t>
            </w: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Hi Silicon (Huawei)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 and </w:t>
            </w: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Mediatek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, generating $3 million € Euros in revenue.  </w:t>
            </w:r>
          </w:p>
          <w:p>
            <w:pPr>
              <w:pStyle w:val="8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240"/>
              <w:ind w:left="360"/>
              <w:outlineLvl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Established relationships,</w:t>
            </w: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resulting in</w:t>
            </w: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 xml:space="preserve"> 3 key Mobile Security projects worth 5 Million € Euros 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in revenue with key Chinese MNOs (</w:t>
            </w: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China Mobile/Unicom/Telecom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), Banks (</w:t>
            </w: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China Merchants Bank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China Union Pay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), Smartphone/Tablet vendors (</w:t>
            </w: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AsusTek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, </w:t>
            </w:r>
          </w:p>
          <w:p>
            <w:pPr>
              <w:pStyle w:val="8"/>
              <w:widowControl w:val="0"/>
              <w:autoSpaceDE w:val="0"/>
              <w:autoSpaceDN w:val="0"/>
              <w:adjustRightInd w:val="0"/>
              <w:spacing w:after="240"/>
              <w:ind w:left="360"/>
              <w:outlineLvl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HTC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Acer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).</w:t>
            </w:r>
          </w:p>
        </w:tc>
      </w:tr>
      <w:tr>
        <w:trPr>
          <w:trHeight w:val="3032" w:hRule="atLeast"/>
        </w:trPr>
        <w:tc>
          <w:tcPr>
            <w:tcW w:w="2117" w:type="dxa"/>
            <w:tcBorders>
              <w:top w:val="single" w:color="2E75B5" w:sz="4" w:space="0"/>
              <w:left w:val="nil"/>
              <w:bottom w:val="single" w:color="2E75B5" w:sz="4" w:space="0"/>
              <w:right w:val="nil"/>
            </w:tcBorders>
          </w:tcPr>
          <w:p>
            <w:pPr>
              <w:pStyle w:val="7"/>
              <w:rPr>
                <w:rFonts w:ascii="Trebuchet MS" w:hAnsi="Trebuchet MS" w:eastAsia="SimHei"/>
                <w:caps/>
                <w:color w:val="0A1B9E"/>
                <w:sz w:val="23"/>
                <w:szCs w:val="23"/>
              </w:rPr>
            </w:pPr>
            <w:r>
              <w:rPr>
                <w:rFonts w:ascii="Trebuchet MS" w:hAnsi="Trebuchet MS" w:eastAsia="SimHei"/>
                <w:caps/>
                <w:color w:val="0A1B9E"/>
                <w:sz w:val="23"/>
                <w:szCs w:val="23"/>
              </w:rPr>
              <w:t>Education</w:t>
            </w:r>
          </w:p>
        </w:tc>
        <w:tc>
          <w:tcPr>
            <w:tcW w:w="9368" w:type="dxa"/>
            <w:tcBorders>
              <w:top w:val="single" w:color="2E75B5" w:sz="4" w:space="0"/>
              <w:left w:val="nil"/>
              <w:bottom w:val="single" w:color="2E75B5" w:sz="4" w:space="0"/>
              <w:right w:val="nil"/>
            </w:tcBorders>
            <w:tcMar>
              <w:top w:w="144" w:type="dxa"/>
              <w:left w:w="274" w:type="dxa"/>
              <w:bottom w:w="72" w:type="dxa"/>
              <w:right w:w="0" w:type="dxa"/>
            </w:tcMar>
          </w:tcPr>
          <w:p>
            <w:pPr>
              <w:pStyle w:val="7"/>
              <w:spacing w:before="0" w:beforeAutospacing="0" w:after="0" w:afterAutospacing="0"/>
              <w:rPr>
                <w:rFonts w:ascii="Trebuchet MS" w:hAnsi="Trebuchet MS" w:eastAsia="SimHei"/>
                <w:b/>
                <w:bCs/>
                <w:caps/>
                <w:color w:val="000000"/>
                <w:sz w:val="22"/>
                <w:szCs w:val="22"/>
              </w:rPr>
            </w:pPr>
            <w:r>
              <w:rPr>
                <w:rFonts w:ascii="Tahoma" w:hAnsi="Tahoma" w:eastAsia="SimHei" w:cs="Tahoma"/>
                <w:b/>
                <w:bCs/>
                <w:caps/>
                <w:color w:val="000000"/>
                <w:spacing w:val="1"/>
                <w:sz w:val="20"/>
                <w:szCs w:val="20"/>
              </w:rPr>
              <w:t>SALVE REGINA UNIVERSITY,</w:t>
            </w:r>
            <w:r>
              <w:rPr>
                <w:rFonts w:ascii="Trebuchet MS" w:hAnsi="Trebuchet MS" w:eastAsia="SimHei"/>
                <w:b/>
                <w:bCs/>
                <w:caps/>
                <w:color w:val="000000"/>
                <w:sz w:val="22"/>
                <w:szCs w:val="22"/>
              </w:rPr>
              <w:t> </w:t>
            </w:r>
            <w:r>
              <w:rPr>
                <w:rFonts w:ascii="Tahoma" w:hAnsi="Tahoma" w:eastAsia="SimHei" w:cs="Tahoma"/>
                <w:b/>
                <w:bCs/>
                <w:caps/>
                <w:color w:val="000000"/>
                <w:sz w:val="20"/>
                <w:szCs w:val="20"/>
              </w:rPr>
              <w:t xml:space="preserve">Newport, </w:t>
            </w:r>
            <w:r>
              <w:rPr>
                <w:rFonts w:ascii="Tahoma" w:hAnsi="Tahoma" w:eastAsia="SimHei" w:cs="Tahoma"/>
                <w:b/>
                <w:bCs/>
                <w:caps/>
                <w:color w:val="000000"/>
                <w:spacing w:val="7"/>
                <w:sz w:val="20"/>
                <w:szCs w:val="20"/>
              </w:rPr>
              <w:t>RI</w:t>
            </w:r>
          </w:p>
          <w:p>
            <w:pPr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Bachelor of Science: Business Management, Computers, Mandarin Chinese</w:t>
            </w:r>
          </w:p>
          <w:p>
            <w:pPr>
              <w:spacing w:before="0" w:beforeAutospacing="0" w:after="0"/>
              <w:rPr>
                <w:color w:val="000000"/>
              </w:rPr>
            </w:pPr>
          </w:p>
          <w:p>
            <w:pPr>
              <w:pStyle w:val="7"/>
              <w:spacing w:before="0" w:beforeAutospacing="0" w:after="0" w:afterAutospacing="0"/>
              <w:rPr>
                <w:rFonts w:ascii="Trebuchet MS" w:hAnsi="Trebuchet MS" w:eastAsia="SimHei"/>
                <w:b/>
                <w:bCs/>
                <w:caps/>
                <w:color w:val="000000"/>
                <w:sz w:val="22"/>
                <w:szCs w:val="22"/>
              </w:rPr>
            </w:pPr>
            <w:r>
              <w:rPr>
                <w:rFonts w:ascii="Tahoma" w:hAnsi="Tahoma" w:eastAsia="SimHei" w:cs="Tahoma"/>
                <w:b/>
                <w:bCs/>
                <w:caps/>
                <w:color w:val="000000"/>
                <w:spacing w:val="1"/>
                <w:sz w:val="20"/>
                <w:szCs w:val="20"/>
              </w:rPr>
              <w:t>NATIONAL TAIWAN NORMAL UNIVERSITY- MANDARIN TRAINING CENTER,</w:t>
            </w:r>
            <w:r>
              <w:rPr>
                <w:rFonts w:ascii="Trebuchet MS" w:hAnsi="Trebuchet MS" w:eastAsia="SimHei"/>
                <w:b/>
                <w:bCs/>
                <w:caps/>
                <w:color w:val="000000"/>
                <w:sz w:val="22"/>
                <w:szCs w:val="22"/>
              </w:rPr>
              <w:t> </w:t>
            </w:r>
            <w:r>
              <w:rPr>
                <w:rFonts w:ascii="Tahoma" w:hAnsi="Tahoma" w:eastAsia="SimHei" w:cs="Tahoma"/>
                <w:b/>
                <w:bCs/>
                <w:caps/>
                <w:color w:val="000000"/>
                <w:sz w:val="20"/>
                <w:szCs w:val="20"/>
              </w:rPr>
              <w:t xml:space="preserve">Taipei, </w:t>
            </w:r>
            <w:r>
              <w:rPr>
                <w:rFonts w:ascii="Tahoma" w:hAnsi="Tahoma" w:eastAsia="SimHei" w:cs="Tahoma"/>
                <w:b/>
                <w:bCs/>
                <w:caps/>
                <w:color w:val="000000"/>
                <w:spacing w:val="3"/>
                <w:sz w:val="20"/>
                <w:szCs w:val="20"/>
              </w:rPr>
              <w:t>Taiwan</w:t>
            </w:r>
          </w:p>
          <w:p>
            <w:pPr>
              <w:spacing w:before="0" w:beforeAutospacing="0" w:after="0"/>
              <w:rPr>
                <w:rFonts w:ascii="Tahoma" w:hAnsi="Tahoma" w:cs="Tahoma"/>
                <w:color w:val="000000"/>
                <w:spacing w:val="2"/>
                <w:sz w:val="20"/>
                <w:szCs w:val="20"/>
              </w:rPr>
            </w:pPr>
            <w:r>
              <w:rPr>
                <w:color w:val="000000"/>
              </w:rPr>
              <w:t xml:space="preserve">Certification in Mandarin Chinese Language: Mandarin Chinese Language, Customs &amp; Culture. </w:t>
            </w:r>
            <w:r>
              <w:rPr>
                <w:rFonts w:ascii="Tahoma" w:hAnsi="Tahoma" w:cs="Tahoma"/>
                <w:color w:val="000000"/>
                <w:spacing w:val="2"/>
                <w:sz w:val="20"/>
                <w:szCs w:val="20"/>
              </w:rPr>
              <w:t xml:space="preserve">Awarded 2-year Mandarin scholarship Taiwan's Ministry of Education. </w:t>
            </w:r>
            <w:r>
              <w:rPr>
                <w:rFonts w:hint="eastAsia" w:ascii="Tahoma" w:hAnsi="Tahoma" w:cs="Tahoma"/>
                <w:color w:val="000000"/>
                <w:spacing w:val="2"/>
                <w:sz w:val="20"/>
                <w:szCs w:val="20"/>
              </w:rPr>
              <w:t>Fluent in</w:t>
            </w:r>
            <w:r>
              <w:rPr>
                <w:rFonts w:ascii="Tahoma" w:hAnsi="Tahoma" w:cs="Tahoma"/>
                <w:color w:val="000000"/>
                <w:spacing w:val="2"/>
                <w:sz w:val="20"/>
                <w:szCs w:val="20"/>
              </w:rPr>
              <w:t xml:space="preserve"> Mandarin.</w:t>
            </w:r>
          </w:p>
          <w:p>
            <w:pPr>
              <w:spacing w:before="0" w:beforeAutospacing="0" w:after="0"/>
              <w:rPr>
                <w:color w:val="000000"/>
              </w:rPr>
            </w:pPr>
          </w:p>
          <w:p>
            <w:pPr>
              <w:pStyle w:val="7"/>
              <w:spacing w:before="0" w:beforeAutospacing="0" w:after="0" w:afterAutospacing="0"/>
              <w:rPr>
                <w:rFonts w:ascii="Trebuchet MS" w:hAnsi="Trebuchet MS" w:eastAsia="SimHei"/>
                <w:b/>
                <w:bCs/>
                <w:caps/>
                <w:color w:val="000000"/>
                <w:sz w:val="22"/>
                <w:szCs w:val="22"/>
              </w:rPr>
            </w:pPr>
            <w:r>
              <w:rPr>
                <w:rFonts w:ascii="Tahoma" w:hAnsi="Tahoma" w:eastAsia="SimHei" w:cs="Tahoma"/>
                <w:b/>
                <w:bCs/>
                <w:caps/>
                <w:color w:val="000000"/>
                <w:spacing w:val="2"/>
                <w:sz w:val="21"/>
                <w:szCs w:val="21"/>
              </w:rPr>
              <w:t>UNIVERSITY OF WASHINGTON</w:t>
            </w:r>
            <w:r>
              <w:rPr>
                <w:rFonts w:ascii="Tahoma" w:hAnsi="Tahoma" w:eastAsia="SimHei" w:cs="Tahoma"/>
                <w:b/>
                <w:bCs/>
                <w:caps/>
                <w:color w:val="000000"/>
                <w:spacing w:val="1"/>
                <w:sz w:val="20"/>
                <w:szCs w:val="20"/>
              </w:rPr>
              <w:t>,</w:t>
            </w:r>
            <w:r>
              <w:rPr>
                <w:rFonts w:ascii="Trebuchet MS" w:hAnsi="Trebuchet MS" w:eastAsia="SimHei"/>
                <w:b/>
                <w:bCs/>
                <w:caps/>
                <w:color w:val="000000"/>
                <w:sz w:val="22"/>
                <w:szCs w:val="22"/>
              </w:rPr>
              <w:t> </w:t>
            </w:r>
            <w:r>
              <w:rPr>
                <w:rFonts w:ascii="Tahoma" w:hAnsi="Tahoma" w:eastAsia="SimHei" w:cs="Tahoma"/>
                <w:b/>
                <w:bCs/>
                <w:caps/>
                <w:color w:val="000000"/>
                <w:spacing w:val="2"/>
                <w:sz w:val="21"/>
                <w:szCs w:val="21"/>
              </w:rPr>
              <w:t>Seattle, WA</w:t>
            </w:r>
          </w:p>
          <w:p>
            <w:pPr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 xml:space="preserve">Professional Certification of Broadband Wireless Communications </w:t>
            </w:r>
          </w:p>
          <w:p>
            <w:pPr>
              <w:spacing w:before="0" w:beforeAutospacing="0" w:after="0"/>
            </w:pPr>
          </w:p>
        </w:tc>
      </w:tr>
    </w:tbl>
    <w:p/>
    <w:sectPr>
      <w:pgSz w:w="12240" w:h="15840"/>
      <w:pgMar w:top="720" w:right="720" w:bottom="806" w:left="720" w:header="706" w:footer="706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宋体-简"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Arial">
    <w:panose1 w:val="020B0604020202020204"/>
    <w:charset w:val="00"/>
    <w:family w:val="swiss"/>
    <w:pitch w:val="default"/>
    <w:sig w:usb0="00000000" w:usb1="00000000" w:usb2="00000000" w:usb3="00000000" w:csb0="00000000" w:csb1="00000000"/>
  </w:font>
  <w:font w:name="黑体">
    <w:altName w:val="黑体-简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黑体-简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Courier New">
    <w:panose1 w:val="02070309020205020404"/>
    <w:charset w:val="00"/>
    <w:family w:val="modern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SimSun">
    <w:altName w:val="宋体-简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等线">
    <w:altName w:val="苹方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苹方-简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等线">
    <w:altName w:val="苹方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Trebuchet MS">
    <w:panose1 w:val="020B0603020202020204"/>
    <w:charset w:val="00"/>
    <w:family w:val="swiss"/>
    <w:pitch w:val="default"/>
    <w:sig w:usb0="00000000" w:usb1="00000000" w:usb2="00000000" w:usb3="00000000" w:csb0="00000000" w:csb1="00000000"/>
  </w:font>
  <w:font w:name="SimHei">
    <w:altName w:val="黑体-简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badi">
    <w:altName w:val="苹方-简"/>
    <w:panose1 w:val="020B0604020104020204"/>
    <w:charset w:val="00"/>
    <w:family w:val="swiss"/>
    <w:pitch w:val="default"/>
    <w:sig w:usb0="00000000" w:usb1="00000000" w:usb2="00000000" w:usb3="00000000" w:csb0="00000001" w:csb1="00000000"/>
  </w:font>
  <w:font w:name="Baghdad">
    <w:panose1 w:val="01000500000000020004"/>
    <w:charset w:val="B2"/>
    <w:family w:val="auto"/>
    <w:pitch w:val="default"/>
    <w:sig w:usb0="00000000" w:usb1="00000000" w:usb2="00000000" w:usb3="00000000" w:csb0="00000000" w:csb1="00000000"/>
  </w:font>
  <w:font w:name="Arial Regular"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00000000" w:usb1="00000000" w:usb2="00000000" w:usb3="00000000" w:csb0="00000000" w:csb1="00000000"/>
  </w:font>
  <w:font w:name="Arial Bold"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等线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88" w:lineRule="auto"/>
      </w:pPr>
      <w:r>
        <w:separator/>
      </w:r>
    </w:p>
  </w:footnote>
  <w:footnote w:type="continuationSeparator" w:id="1">
    <w:p>
      <w:pPr>
        <w:spacing w:before="0" w:after="0" w:line="288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F91FAB"/>
    <w:multiLevelType w:val="multilevel"/>
    <w:tmpl w:val="0AF91FAB"/>
    <w:lvl w:ilvl="0" w:tentative="0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/>
      </w:rPr>
    </w:lvl>
    <w:lvl w:ilvl="2" w:tentative="0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">
    <w:nsid w:val="21EF0C79"/>
    <w:multiLevelType w:val="multilevel"/>
    <w:tmpl w:val="21EF0C79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>
    <w:nsid w:val="2B730E51"/>
    <w:multiLevelType w:val="multilevel"/>
    <w:tmpl w:val="2B730E51"/>
    <w:lvl w:ilvl="0" w:tentative="0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/>
      </w:rPr>
    </w:lvl>
    <w:lvl w:ilvl="2" w:tentative="0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3">
    <w:nsid w:val="38EF608F"/>
    <w:multiLevelType w:val="multilevel"/>
    <w:tmpl w:val="38EF608F"/>
    <w:lvl w:ilvl="0" w:tentative="0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4">
    <w:nsid w:val="64736579"/>
    <w:multiLevelType w:val="multilevel"/>
    <w:tmpl w:val="64736579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6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1184"/>
    <w:rsid w:val="00015FEA"/>
    <w:rsid w:val="00027B81"/>
    <w:rsid w:val="000772CD"/>
    <w:rsid w:val="000E2030"/>
    <w:rsid w:val="001569EE"/>
    <w:rsid w:val="001C0FEA"/>
    <w:rsid w:val="002448B6"/>
    <w:rsid w:val="002C1F85"/>
    <w:rsid w:val="00332252"/>
    <w:rsid w:val="00346367"/>
    <w:rsid w:val="00376A92"/>
    <w:rsid w:val="00385BB4"/>
    <w:rsid w:val="003A3F52"/>
    <w:rsid w:val="003D7EDE"/>
    <w:rsid w:val="00432FD5"/>
    <w:rsid w:val="004A5395"/>
    <w:rsid w:val="004C3F5B"/>
    <w:rsid w:val="004F5ADA"/>
    <w:rsid w:val="00531184"/>
    <w:rsid w:val="005E0A78"/>
    <w:rsid w:val="00602D83"/>
    <w:rsid w:val="006603F3"/>
    <w:rsid w:val="006677B8"/>
    <w:rsid w:val="0072563D"/>
    <w:rsid w:val="00744231"/>
    <w:rsid w:val="00795A70"/>
    <w:rsid w:val="007C6953"/>
    <w:rsid w:val="00834DCA"/>
    <w:rsid w:val="008C14C1"/>
    <w:rsid w:val="0097181A"/>
    <w:rsid w:val="009C7D5A"/>
    <w:rsid w:val="009F41CB"/>
    <w:rsid w:val="00A854AE"/>
    <w:rsid w:val="00AD5CDC"/>
    <w:rsid w:val="00B0237C"/>
    <w:rsid w:val="00B42C8D"/>
    <w:rsid w:val="00BD0706"/>
    <w:rsid w:val="00C56345"/>
    <w:rsid w:val="00C67DBC"/>
    <w:rsid w:val="00CE0E92"/>
    <w:rsid w:val="00D04AED"/>
    <w:rsid w:val="00E008F3"/>
    <w:rsid w:val="00E115DB"/>
    <w:rsid w:val="00E40BAF"/>
    <w:rsid w:val="00E92AE5"/>
    <w:rsid w:val="00EC0E4C"/>
    <w:rsid w:val="00EF257B"/>
    <w:rsid w:val="00F64E0B"/>
    <w:rsid w:val="00F90B17"/>
    <w:rsid w:val="522B2556"/>
    <w:rsid w:val="52AEA98C"/>
    <w:rsid w:val="5B6325F5"/>
    <w:rsid w:val="D6F74E2D"/>
    <w:rsid w:val="EE3F48DE"/>
    <w:rsid w:val="F7BBF5B3"/>
    <w:rsid w:val="FE5F0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100" w:beforeAutospacing="1" w:after="160" w:line="288" w:lineRule="auto"/>
    </w:pPr>
    <w:rPr>
      <w:rFonts w:ascii="Trebuchet MS" w:hAnsi="Trebuchet MS" w:eastAsia="SimHei" w:cs="Times New Roman"/>
      <w:color w:val="585858"/>
      <w:sz w:val="22"/>
      <w:szCs w:val="22"/>
      <w:lang w:val="en-SG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2"/>
    <w:semiHidden/>
    <w:unhideWhenUsed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5">
    <w:name w:val="Hyperlink"/>
    <w:basedOn w:val="2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6">
    <w:name w:val="List Bullet"/>
    <w:basedOn w:val="1"/>
    <w:semiHidden/>
    <w:unhideWhenUsed/>
    <w:uiPriority w:val="99"/>
    <w:pPr>
      <w:ind w:left="360" w:hanging="360"/>
      <w:contextualSpacing/>
    </w:pPr>
  </w:style>
  <w:style w:type="paragraph" w:styleId="7">
    <w:name w:val="Normal (Web)"/>
    <w:basedOn w:val="1"/>
    <w:semiHidden/>
    <w:unhideWhenUsed/>
    <w:uiPriority w:val="99"/>
    <w:pPr>
      <w:spacing w:after="100" w:afterAutospacing="1" w:line="240" w:lineRule="auto"/>
    </w:pPr>
    <w:rPr>
      <w:rFonts w:ascii="Times New Roman" w:hAnsi="Times New Roman" w:eastAsia="Times New Roman"/>
      <w:color w:val="auto"/>
      <w:sz w:val="24"/>
      <w:szCs w:val="24"/>
    </w:rPr>
  </w:style>
  <w:style w:type="paragraph" w:customStyle="1" w:styleId="8">
    <w:name w:val="List Paragraph1"/>
    <w:basedOn w:val="1"/>
    <w:uiPriority w:val="0"/>
    <w:pPr>
      <w:ind w:left="720"/>
      <w:contextualSpacing/>
    </w:pPr>
  </w:style>
  <w:style w:type="table" w:customStyle="1" w:styleId="9">
    <w:name w:val="Resume Table"/>
    <w:basedOn w:val="3"/>
    <w:uiPriority w:val="0"/>
    <w:rPr>
      <w:rFonts w:ascii="Times New Roman" w:hAnsi="Times New Roman" w:eastAsia="Times New Roman" w:cs="Times New Roman"/>
    </w:rPr>
    <w:tblPr>
      <w:tblBorders>
        <w:bottom w:val="single" w:color="2E75B5" w:sz="4" w:space="0"/>
        <w:insideH w:val="single" w:color="2E75B5" w:sz="4" w:space="0"/>
      </w:tblBorders>
      <w:tblCellMar>
        <w:top w:w="144" w:type="dxa"/>
        <w:left w:w="0" w:type="dxa"/>
        <w:bottom w:w="144" w:type="dxa"/>
        <w:right w:w="0" w:type="dxa"/>
      </w:tblCellMar>
    </w:tblPr>
  </w:style>
  <w:style w:type="character" w:customStyle="1" w:styleId="10">
    <w:name w:val="Unresolved Mention1"/>
    <w:basedOn w:val="2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783</Words>
  <Characters>4464</Characters>
  <Lines>37</Lines>
  <Paragraphs>10</Paragraphs>
  <TotalTime>18</TotalTime>
  <ScaleCrop>false</ScaleCrop>
  <LinksUpToDate>false</LinksUpToDate>
  <CharactersWithSpaces>5237</CharactersWithSpaces>
  <Application>WPS Office_5.7.3.8096_F1E327BC-269C-435d-A152-05C5408002CA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2024-03-04T14:14:00Z</dcterms:created>
  <dc:creator>Karl Weaver</dc:creator>
  <cp:lastModifiedBy>karl.weaver</cp:lastModifiedBy>
  <cp:lastPrinted>2024-01-22T04:12:00Z</cp:lastPrinted>
  <dcterms:modified xsi:type="dcterms:W3CDTF">2024-08-07T15:38:48Z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1033-5.7.3.8096</vt:lpwstr>
  </property>
</Properties>
</file>